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We The Gamers: User Growth Projection Validation</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data-driven justification for the user growth rates projected in the "We The Gamers" (WTG) financial model. Forecasting for a new venture is inherently challenging due to the absence of historical data. However, by employing a dual-pronged analysis—combining a top-down view of the market with a bottom-up comparison to industry benchmarks—we can build a robust case for our projections.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analysis confirms that the projected long-term monthly growth rate of </w:t>
      </w:r>
      <w:r w:rsidDel="00000000" w:rsidR="00000000" w:rsidRPr="00000000">
        <w:rPr>
          <w:rFonts w:ascii="Google Sans Text" w:cs="Google Sans Text" w:eastAsia="Google Sans Text" w:hAnsi="Google Sans Text"/>
          <w:b w:val="1"/>
          <w:i w:val="0"/>
          <w:color w:val="1b1c1d"/>
          <w:sz w:val="24"/>
          <w:szCs w:val="24"/>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is a realistic and even conservative target when measured against the performance of successful early-stage, community-focused platforms. This growth is underpinned by favourable market conditions and a core business strategy that leverages community as a powerful, organic growth engine.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Top-Down Market Validation: A Favourable Environment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macro environment for a new gaming venture is exceptionally positive, providing a fertile ground for growth.</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Expanding Gamer Population:</w:t>
      </w:r>
      <w:r w:rsidDel="00000000" w:rsidR="00000000" w:rsidRPr="00000000">
        <w:rPr>
          <w:rFonts w:ascii="Google Sans Text" w:cs="Google Sans Text" w:eastAsia="Google Sans Text" w:hAnsi="Google Sans Text"/>
          <w:i w:val="0"/>
          <w:color w:val="1b1c1d"/>
          <w:sz w:val="24"/>
          <w:szCs w:val="24"/>
          <w:rtl w:val="0"/>
        </w:rPr>
        <w:t xml:space="preserve"> The global number of active video game players is approximately </w:t>
      </w:r>
      <w:r w:rsidDel="00000000" w:rsidR="00000000" w:rsidRPr="00000000">
        <w:rPr>
          <w:rFonts w:ascii="Google Sans Text" w:cs="Google Sans Text" w:eastAsia="Google Sans Text" w:hAnsi="Google Sans Text"/>
          <w:b w:val="1"/>
          <w:i w:val="0"/>
          <w:color w:val="1b1c1d"/>
          <w:sz w:val="24"/>
          <w:szCs w:val="24"/>
          <w:rtl w:val="0"/>
        </w:rPr>
        <w:t xml:space="preserve">3.32 billion</w:t>
      </w:r>
      <w:r w:rsidDel="00000000" w:rsidR="00000000" w:rsidRPr="00000000">
        <w:rPr>
          <w:rFonts w:ascii="Google Sans Text" w:cs="Google Sans Text" w:eastAsia="Google Sans Text" w:hAnsi="Google Sans Text"/>
          <w:i w:val="0"/>
          <w:color w:val="1b1c1d"/>
          <w:sz w:val="24"/>
          <w:szCs w:val="24"/>
          <w:rtl w:val="0"/>
        </w:rPr>
        <w:t xml:space="preserve"> and is forecast to grow steadily. The wider online gaming market is projected to expand at a Compound Annual Growth Rate (CAGR) of </w:t>
      </w:r>
      <w:r w:rsidDel="00000000" w:rsidR="00000000" w:rsidRPr="00000000">
        <w:rPr>
          <w:rFonts w:ascii="Google Sans Text" w:cs="Google Sans Text" w:eastAsia="Google Sans Text" w:hAnsi="Google Sans Text"/>
          <w:b w:val="1"/>
          <w:i w:val="0"/>
          <w:color w:val="1b1c1d"/>
          <w:sz w:val="24"/>
          <w:szCs w:val="24"/>
          <w:rtl w:val="0"/>
        </w:rPr>
        <w:t xml:space="preserve">~10.9%</w:t>
      </w:r>
      <w:r w:rsidDel="00000000" w:rsidR="00000000" w:rsidRPr="00000000">
        <w:rPr>
          <w:rFonts w:ascii="Google Sans Text" w:cs="Google Sans Text" w:eastAsia="Google Sans Text" w:hAnsi="Google Sans Text"/>
          <w:i w:val="0"/>
          <w:color w:val="1b1c1d"/>
          <w:sz w:val="24"/>
          <w:szCs w:val="24"/>
          <w:rtl w:val="0"/>
        </w:rPr>
        <w:t xml:space="preserve"> between 2025 and 2033.</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Thriving Core Platform (Discord):</w:t>
      </w:r>
      <w:r w:rsidDel="00000000" w:rsidR="00000000" w:rsidRPr="00000000">
        <w:rPr>
          <w:rFonts w:ascii="Google Sans Text" w:cs="Google Sans Text" w:eastAsia="Google Sans Text" w:hAnsi="Google Sans Text"/>
          <w:i w:val="0"/>
          <w:color w:val="1b1c1d"/>
          <w:sz w:val="24"/>
          <w:szCs w:val="24"/>
          <w:rtl w:val="0"/>
        </w:rPr>
        <w:t xml:space="preserve"> Our platform is built upon Discord, which remains central to gaming culture. As of May 2025, Discord boasted </w:t>
      </w:r>
      <w:r w:rsidDel="00000000" w:rsidR="00000000" w:rsidRPr="00000000">
        <w:rPr>
          <w:rFonts w:ascii="Google Sans Text" w:cs="Google Sans Text" w:eastAsia="Google Sans Text" w:hAnsi="Google Sans Text"/>
          <w:b w:val="1"/>
          <w:i w:val="0"/>
          <w:color w:val="1b1c1d"/>
          <w:sz w:val="24"/>
          <w:szCs w:val="24"/>
          <w:rtl w:val="0"/>
        </w:rPr>
        <w:t xml:space="preserve">200 million monthly active users</w:t>
      </w:r>
      <w:r w:rsidDel="00000000" w:rsidR="00000000" w:rsidRPr="00000000">
        <w:rPr>
          <w:rFonts w:ascii="Google Sans Text" w:cs="Google Sans Text" w:eastAsia="Google Sans Text" w:hAnsi="Google Sans Text"/>
          <w:i w:val="0"/>
          <w:color w:val="1b1c1d"/>
          <w:sz w:val="24"/>
          <w:szCs w:val="24"/>
          <w:rtl w:val="0"/>
        </w:rPr>
        <w:t xml:space="preserve">, a significant increase from 154 million in 2023. This demonstrates the continued relevance and growth of the ecosystem in which WTG will operate.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top-down view confirms that "We The Gamers" is launching into a large, expanding, and highly engaged target market.</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Bottom-Up Benchmarking: Justifying the Numbers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validate our specific growth figures, we compare them against established benchmarks for early-stage, consumer-focused Software-as-a-Service (SaaS) companies, particularly those utilizing a freemium model.</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Industry Benchmark:</w:t>
      </w:r>
      <w:r w:rsidDel="00000000" w:rsidR="00000000" w:rsidRPr="00000000">
        <w:rPr>
          <w:rFonts w:ascii="Google Sans Text" w:cs="Google Sans Text" w:eastAsia="Google Sans Text" w:hAnsi="Google Sans Text"/>
          <w:i w:val="0"/>
          <w:color w:val="1b1c1d"/>
          <w:sz w:val="24"/>
          <w:szCs w:val="24"/>
          <w:rtl w:val="0"/>
        </w:rPr>
        <w:t xml:space="preserve"> Research and analysis of successful early-stage consumer SaaS companies indicate that a strong and achievable </w:t>
      </w:r>
      <w:r w:rsidDel="00000000" w:rsidR="00000000" w:rsidRPr="00000000">
        <w:rPr>
          <w:rFonts w:ascii="Google Sans Text" w:cs="Google Sans Text" w:eastAsia="Google Sans Text" w:hAnsi="Google Sans Text"/>
          <w:b w:val="1"/>
          <w:i w:val="0"/>
          <w:color w:val="1b1c1d"/>
          <w:sz w:val="24"/>
          <w:szCs w:val="24"/>
          <w:rtl w:val="0"/>
        </w:rPr>
        <w:t xml:space="preserve">monthly new user growth rate typically falls between 15% and 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"We The Gamers" Projection:</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Launch Phase (Months 1-12):</w:t>
      </w:r>
      <w:r w:rsidDel="00000000" w:rsidR="00000000" w:rsidRPr="00000000">
        <w:rPr>
          <w:rFonts w:ascii="Google Sans Text" w:cs="Google Sans Text" w:eastAsia="Google Sans Text" w:hAnsi="Google Sans Text"/>
          <w:i w:val="0"/>
          <w:color w:val="1b1c1d"/>
          <w:sz w:val="24"/>
          <w:szCs w:val="24"/>
          <w:rtl w:val="0"/>
        </w:rPr>
        <w:t xml:space="preserve"> Our model assumes an aggressive initial growth rate, starting at 50% month-over-month and gradually decreasing. This is higher than the long-term benchmark but is justified as a standard "launch phase" phenomenon, driven by initial marketing spend, founder networks, novelty factor, and early adopter enthusiasm.</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Sustained Growth Phase (Month 13+):</w:t>
      </w:r>
      <w:r w:rsidDel="00000000" w:rsidR="00000000" w:rsidRPr="00000000">
        <w:rPr>
          <w:rFonts w:ascii="Google Sans Text" w:cs="Google Sans Text" w:eastAsia="Google Sans Text" w:hAnsi="Google Sans Text"/>
          <w:i w:val="0"/>
          <w:color w:val="1b1c1d"/>
          <w:sz w:val="24"/>
          <w:szCs w:val="24"/>
          <w:rtl w:val="0"/>
        </w:rPr>
        <w:t xml:space="preserve"> The model deliberately tapers this rate down to a steady </w:t>
      </w:r>
      <w:r w:rsidDel="00000000" w:rsidR="00000000" w:rsidRPr="00000000">
        <w:rPr>
          <w:rFonts w:ascii="Google Sans Text" w:cs="Google Sans Text" w:eastAsia="Google Sans Text" w:hAnsi="Google Sans Text"/>
          <w:b w:val="1"/>
          <w:i w:val="0"/>
          <w:color w:val="1b1c1d"/>
          <w:sz w:val="24"/>
          <w:szCs w:val="24"/>
          <w:rtl w:val="0"/>
        </w:rPr>
        <w:t xml:space="preserve">10% month-over-month</w:t>
      </w:r>
      <w:r w:rsidDel="00000000" w:rsidR="00000000" w:rsidRPr="00000000">
        <w:rPr>
          <w:rFonts w:ascii="Google Sans Text" w:cs="Google Sans Text" w:eastAsia="Google Sans Text" w:hAnsi="Google Sans Text"/>
          <w:i w:val="0"/>
          <w:color w:val="1b1c1d"/>
          <w:sz w:val="24"/>
          <w:szCs w:val="24"/>
          <w:rtl w:val="0"/>
        </w:rPr>
        <w:t xml:space="preserve">. This long-term projection is conservative, falling below the 15-30% benchmark for strong performers. This adds a crucial layer of realism to the forecast, ensuring our long-term goals are sustainable and achievable, not reliant on maintaining launch-phase momentum indefinitely.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financial projection, therefore, is not a flat, unrealistic line. It models an aggressive, targeted launch that transitions into a sustainable, conservative growth trajectory that is well within industry norms.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Strategic Justification: Community as the Primary Growth Engine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projected numbers are not based on market opportunity alone. They are achievable because the entire "We The Gamers" business model is built around the single most powerful driver of organic growth in the gaming space: </w:t>
      </w:r>
      <w:r w:rsidDel="00000000" w:rsidR="00000000" w:rsidRPr="00000000">
        <w:rPr>
          <w:rFonts w:ascii="Google Sans Text" w:cs="Google Sans Text" w:eastAsia="Google Sans Text" w:hAnsi="Google Sans Text"/>
          <w:b w:val="1"/>
          <w:i w:val="0"/>
          <w:color w:val="1b1c1d"/>
          <w:sz w:val="24"/>
          <w:szCs w:val="24"/>
          <w:rtl w:val="0"/>
        </w:rPr>
        <w:t xml:space="preserve">community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Player Trust Drives Acquisition:</w:t>
      </w:r>
      <w:r w:rsidDel="00000000" w:rsidR="00000000" w:rsidRPr="00000000">
        <w:rPr>
          <w:rFonts w:ascii="Google Sans Text" w:cs="Google Sans Text" w:eastAsia="Google Sans Text" w:hAnsi="Google Sans Text"/>
          <w:i w:val="0"/>
          <w:color w:val="1b1c1d"/>
          <w:sz w:val="24"/>
          <w:szCs w:val="24"/>
          <w:rtl w:val="0"/>
        </w:rPr>
        <w:t xml:space="preserve"> Industry reports show that nearly half of all gamers (49%) research player reviews and community sentiment before trying a new game or service. A positive, active, and non-toxic community is a direct driver of new user acquisition. Our core mission is to cultivate this environment, turning our community itself into our most effective marketing tool.</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Engagement Increases Lifetime Value (LTV):</w:t>
      </w:r>
      <w:r w:rsidDel="00000000" w:rsidR="00000000" w:rsidRPr="00000000">
        <w:rPr>
          <w:rFonts w:ascii="Google Sans Text" w:cs="Google Sans Text" w:eastAsia="Google Sans Text" w:hAnsi="Google Sans Text"/>
          <w:i w:val="0"/>
          <w:color w:val="1b1c1d"/>
          <w:sz w:val="24"/>
          <w:szCs w:val="24"/>
          <w:rtl w:val="0"/>
        </w:rPr>
        <w:t xml:space="preserve"> It is well-documented that players who are active participants in a game's community are more likely to stay engaged longer (retention) and spend more money (monetization). By integrating our services directly into the community hub (Discord), our model is purpose-built to maximize this effect.</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Alignment with Market Trends:</w:t>
      </w:r>
      <w:r w:rsidDel="00000000" w:rsidR="00000000" w:rsidRPr="00000000">
        <w:rPr>
          <w:rFonts w:ascii="Google Sans Text" w:cs="Google Sans Text" w:eastAsia="Google Sans Text" w:hAnsi="Google Sans Text"/>
          <w:i w:val="0"/>
          <w:color w:val="1b1c1d"/>
          <w:sz w:val="24"/>
          <w:szCs w:val="24"/>
          <w:rtl w:val="0"/>
        </w:rPr>
        <w:t xml:space="preserve"> The trend in modern gaming is a definitive shift towards co-operative and social play. Our platform, which is designed to facilitate shared gaming experiences and remove friction from playing with friends, is perfectly aligned with this dominant trend.</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Conclusion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no forecast is a certainty, the user growth projections for "We The Gamers" are founded on a robust and evidence-based methodology. The projections are validated by:</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Large and Growing Market:</w:t>
      </w:r>
      <w:r w:rsidDel="00000000" w:rsidR="00000000" w:rsidRPr="00000000">
        <w:rPr>
          <w:rFonts w:ascii="Google Sans Text" w:cs="Google Sans Text" w:eastAsia="Google Sans Text" w:hAnsi="Google Sans Text"/>
          <w:i w:val="0"/>
          <w:color w:val="1b1c1d"/>
          <w:sz w:val="24"/>
          <w:szCs w:val="24"/>
          <w:rtl w:val="0"/>
        </w:rPr>
        <w:t xml:space="preserve"> We are entering a thriving market with a clear demand for community-oriented gaming services.</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Realistic and Sustainable Benchmarks:</w:t>
      </w:r>
      <w:r w:rsidDel="00000000" w:rsidR="00000000" w:rsidRPr="00000000">
        <w:rPr>
          <w:rFonts w:ascii="Google Sans Text" w:cs="Google Sans Text" w:eastAsia="Google Sans Text" w:hAnsi="Google Sans Text"/>
          <w:i w:val="0"/>
          <w:color w:val="1b1c1d"/>
          <w:sz w:val="24"/>
          <w:szCs w:val="24"/>
          <w:rtl w:val="0"/>
        </w:rPr>
        <w:t xml:space="preserve"> Our long-term growth target of 10% per month is a conservative and achievable goal when measured against industry standards.</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Sound, Community-Centric Strategy:</w:t>
      </w:r>
      <w:r w:rsidDel="00000000" w:rsidR="00000000" w:rsidRPr="00000000">
        <w:rPr>
          <w:rFonts w:ascii="Google Sans Text" w:cs="Google Sans Text" w:eastAsia="Google Sans Text" w:hAnsi="Google Sans Text"/>
          <w:i w:val="0"/>
          <w:color w:val="1b1c1d"/>
          <w:sz w:val="24"/>
          <w:szCs w:val="24"/>
          <w:rtl w:val="0"/>
        </w:rPr>
        <w:t xml:space="preserve"> Our core business model is strategically aligned with the most powerful organic growth drivers in the modern gaming landscape.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we assert with confidence that the projected growth rates presented in the financial model are both ambitious and achievable, providing a solid foundation for investor and lender confidence.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